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99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26"/>
      </w:tblGrid>
      <w:tr w:rsidR="0033779D" w:rsidRPr="00E31856" w:rsidTr="001B372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3779D" w:rsidRPr="00E31856" w:rsidRDefault="0033779D" w:rsidP="001B3720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caps/>
              </w:rPr>
              <w:t>Monetarna ekonomija II</w:t>
            </w:r>
          </w:p>
        </w:tc>
      </w:tr>
      <w:tr w:rsidR="0033779D" w:rsidRPr="00E31856" w:rsidTr="001B3720">
        <w:trPr>
          <w:trHeight w:val="446"/>
        </w:trPr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>
              <w:rPr>
                <w:rStyle w:val="Strong"/>
                <w:rFonts w:ascii="Arial" w:hAnsi="Arial" w:cs="Arial"/>
                <w:sz w:val="20"/>
                <w:szCs w:val="20"/>
              </w:rPr>
              <w:t>Kȏd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</w:rPr>
              <w:t>EUE310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33779D" w:rsidRPr="00E31856" w:rsidTr="001B3720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doc. dr. sc. Ana Rimac Smiljanić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3779D" w:rsidRPr="00E31856" w:rsidTr="001B3720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E31856" w:rsidRDefault="00A3571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3779D" w:rsidRPr="00E31856" w:rsidRDefault="0033779D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3779D" w:rsidRPr="00E31856" w:rsidRDefault="0033779D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3779D" w:rsidRPr="00E31856" w:rsidRDefault="0033779D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3779D" w:rsidRPr="00E31856" w:rsidTr="001B3720">
        <w:trPr>
          <w:trHeight w:val="42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3779D" w:rsidRPr="00E31856" w:rsidRDefault="0033779D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3779D" w:rsidRPr="00E31856" w:rsidRDefault="0033779D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3779D" w:rsidRPr="00E31856" w:rsidRDefault="0033779D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779D" w:rsidRPr="00E31856" w:rsidTr="001B3720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1946BC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15%</w:t>
            </w:r>
          </w:p>
        </w:tc>
      </w:tr>
      <w:tr w:rsidR="0033779D" w:rsidRPr="00E31856" w:rsidTr="001B3720">
        <w:tc>
          <w:tcPr>
            <w:tcW w:w="94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3779D" w:rsidRPr="00E31856" w:rsidTr="001B3720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33779D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Cilj ovog predmeta je pružiti studentima napredna  teorijska i empirijska znanja iz monetarne ekonomije.</w:t>
            </w:r>
          </w:p>
          <w:p w:rsidR="0033779D" w:rsidRPr="00E31856" w:rsidRDefault="0033779D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779D" w:rsidRPr="00E31856" w:rsidTr="001B3720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Uvjeti za upis predmeta i ulazne kompetencije+74trebne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33779D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Temeljna znanja o monetarnoj ekonomiji.</w:t>
            </w:r>
          </w:p>
          <w:p w:rsidR="0033779D" w:rsidRPr="00E31856" w:rsidRDefault="0033779D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779D" w:rsidRPr="00E31856" w:rsidTr="001B3720">
        <w:trPr>
          <w:trHeight w:val="2240"/>
        </w:trPr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33779D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 Ishod učenja predmeta:</w:t>
            </w:r>
          </w:p>
          <w:p w:rsidR="0033779D" w:rsidRPr="00E31856" w:rsidRDefault="0033779D" w:rsidP="0033779D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Planirati i upravljati financijskim odlukama na makroekonomskoj i mikroekonomskoj razini s obzirom na promjene unutar monetarnog sustava  (7. razina)</w:t>
            </w:r>
          </w:p>
          <w:p w:rsidR="0033779D" w:rsidRPr="00E31856" w:rsidRDefault="0033779D" w:rsidP="001B3720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33779D" w:rsidRPr="00E31856" w:rsidRDefault="0033779D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1946BC" w:rsidRPr="001946BC" w:rsidRDefault="001946BC" w:rsidP="0033779D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946BC">
              <w:rPr>
                <w:rFonts w:ascii="Times New Roman" w:eastAsia="MS Mincho" w:hAnsi="Times New Roman"/>
                <w:color w:val="FF0000"/>
                <w:kern w:val="24"/>
                <w:sz w:val="24"/>
                <w:szCs w:val="24"/>
                <w:lang w:eastAsia="hr-HR"/>
              </w:rPr>
              <w:t>Argumentirati mišljenje o različitim aspektima djelovanja vodećih središnjih banaka svijeta</w:t>
            </w:r>
          </w:p>
          <w:p w:rsidR="001946BC" w:rsidRPr="001946BC" w:rsidRDefault="001946BC" w:rsidP="0033779D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946BC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hr-HR"/>
              </w:rPr>
              <w:t>Prosuditi ulogu i posljedice monetarne politike u stabilizacijskim procesima otvorenih zemalja</w:t>
            </w:r>
          </w:p>
          <w:p w:rsidR="001946BC" w:rsidRPr="001946BC" w:rsidRDefault="001946BC" w:rsidP="0033779D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946BC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hr-HR"/>
              </w:rPr>
              <w:t>Ocijeniti ulogu i posljedice monetarne politike u borbi s deflacijom</w:t>
            </w:r>
          </w:p>
          <w:p w:rsidR="001946BC" w:rsidRPr="001946BC" w:rsidRDefault="001946BC" w:rsidP="0033779D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946BC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hr-HR"/>
              </w:rPr>
              <w:t>Kritički prosuditi različite aspekte povezanosti monetarne politike i financijske stabilnosti</w:t>
            </w:r>
          </w:p>
          <w:p w:rsidR="0033779D" w:rsidRPr="00E31856" w:rsidRDefault="0033779D" w:rsidP="001946BC">
            <w:pPr>
              <w:spacing w:after="0" w:line="240" w:lineRule="auto"/>
              <w:ind w:left="42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779D" w:rsidRPr="00E31856" w:rsidTr="001B3720">
        <w:trPr>
          <w:trHeight w:val="4726"/>
        </w:trPr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123"/>
              <w:gridCol w:w="561"/>
              <w:gridCol w:w="3123"/>
              <w:gridCol w:w="561"/>
            </w:tblGrid>
            <w:tr w:rsidR="0033779D" w:rsidRPr="00E31856" w:rsidTr="001B3720">
              <w:tc>
                <w:tcPr>
                  <w:tcW w:w="0" w:type="auto"/>
                  <w:gridSpan w:val="2"/>
                </w:tcPr>
                <w:p w:rsidR="0033779D" w:rsidRPr="00E31856" w:rsidRDefault="0033779D" w:rsidP="001B3720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0" w:type="auto"/>
                  <w:gridSpan w:val="2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33779D" w:rsidRPr="00E31856" w:rsidTr="001B3720"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33779D" w:rsidRPr="00E31856" w:rsidTr="001B3720">
              <w:trPr>
                <w:trHeight w:val="287"/>
              </w:trPr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Uvod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Uvod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3779D" w:rsidRPr="00E31856" w:rsidTr="001B3720">
              <w:trPr>
                <w:trHeight w:val="1148"/>
              </w:trPr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 xml:space="preserve">Monetarna politika SAD-a nakon </w:t>
                  </w:r>
                  <w:proofErr w:type="spellStart"/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Bretton</w:t>
                  </w:r>
                  <w:proofErr w:type="spellEnd"/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 xml:space="preserve"> Woods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8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 xml:space="preserve">Monetarna politika SAD-a nakon </w:t>
                  </w:r>
                  <w:proofErr w:type="spellStart"/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Bretton</w:t>
                  </w:r>
                  <w:proofErr w:type="spellEnd"/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 xml:space="preserve"> Woods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3779D" w:rsidRPr="00E31856" w:rsidTr="001B3720">
              <w:trPr>
                <w:cantSplit/>
                <w:trHeight w:hRule="exact" w:val="517"/>
              </w:trPr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8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Ciljanje inflacije u UK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9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Ciljanje inflacije u UK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3779D" w:rsidRPr="00E31856" w:rsidTr="001B3720"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9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Bundesbank</w:t>
                  </w:r>
                  <w:proofErr w:type="spellEnd"/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 xml:space="preserve"> i Swiss National Bank: monetarno ciljanje u Europi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10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Bundesbank</w:t>
                  </w:r>
                  <w:proofErr w:type="spellEnd"/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 xml:space="preserve"> i Swiss National Bank: monetarno ciljanje u Europi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3779D" w:rsidRPr="00E31856" w:rsidTr="001B3720">
              <w:trPr>
                <w:trHeight w:val="132"/>
              </w:trPr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10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Monetarna politika ECB-a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11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Monetarna politika ECB-a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3779D" w:rsidRPr="00E31856" w:rsidTr="001B3720"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11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Devizni tečajevi i monetarna politika u otvorenim ekonomijama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12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Devizni tečajevi i monetarna politika u otvorenim ekonomijama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3779D" w:rsidRPr="00E31856" w:rsidTr="001B3720">
              <w:trPr>
                <w:trHeight w:val="465"/>
              </w:trPr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12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Režimi deviznih tečajeva i monetarna politika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13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Režimi deviznih tečajeva i monetarna politika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3779D" w:rsidRPr="00E31856" w:rsidTr="001B3720"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13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 xml:space="preserve">Stabilizacijski programi 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14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 xml:space="preserve">Stabilizacijski programi 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3779D" w:rsidRPr="00E31856" w:rsidTr="001B3720"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14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Hrvatski stabilizacijski program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13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Hrvatski stabilizacijski program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3779D" w:rsidRPr="00E31856" w:rsidTr="001B3720"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13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Monetarna politika u uvjetima 0% kamatne stope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15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Monetarna politika u uvjetima 0% kamatne stope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3779D" w:rsidRPr="00E31856" w:rsidTr="001B3720">
              <w:trPr>
                <w:trHeight w:val="643"/>
              </w:trPr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15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Problemi deflacije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16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Problemi deflacije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3779D" w:rsidRPr="00E31856" w:rsidTr="001B3720"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16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Financijska stabilnost i monetarna politika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17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Financijska stabilnost i monetarna politika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3779D" w:rsidRPr="00E31856" w:rsidTr="001B3720">
              <w:trPr>
                <w:trHeight w:val="313"/>
              </w:trPr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17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Monetarna politika i mjehuri u cijenama imovine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18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Monetarna politika i mjehuri u cijenama imovine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3779D" w:rsidRPr="00E31856" w:rsidTr="001946BC">
              <w:trPr>
                <w:cantSplit/>
                <w:trHeight w:hRule="exact" w:val="605"/>
              </w:trPr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18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Promišljena regulacija i mjehuri u cijenama imovine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19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Promišljena regulacija i mjehuri u cijenama imovine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3779D" w:rsidRPr="00E31856" w:rsidTr="001B3720"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19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33779D" w:rsidRPr="00E31856" w:rsidRDefault="0033779D" w:rsidP="0033779D">
                  <w:pPr>
                    <w:numPr>
                      <w:ilvl w:val="0"/>
                      <w:numId w:val="20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0" w:type="auto"/>
                </w:tcPr>
                <w:p w:rsidR="0033779D" w:rsidRPr="00E31856" w:rsidRDefault="0033779D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33779D" w:rsidRPr="00E31856" w:rsidRDefault="0033779D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779D" w:rsidRPr="00E31856" w:rsidTr="001B3720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X predavanja</w:t>
            </w:r>
          </w:p>
          <w:p w:rsidR="0033779D" w:rsidRPr="00E31856" w:rsidRDefault="0033779D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33779D" w:rsidRPr="00E31856" w:rsidRDefault="0033779D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33779D" w:rsidRPr="00E31856" w:rsidRDefault="0033779D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31856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3779D" w:rsidRPr="00E31856" w:rsidRDefault="0033779D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33779D" w:rsidRPr="00E31856" w:rsidRDefault="0033779D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33779D" w:rsidRPr="00E31856" w:rsidRDefault="0033779D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33779D" w:rsidRPr="00E31856" w:rsidRDefault="0033779D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3779D" w:rsidRPr="00E31856" w:rsidRDefault="0033779D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33779D" w:rsidRPr="00E31856" w:rsidRDefault="0033779D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5719"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35719" w:rsidRPr="00E31856">
              <w:rPr>
                <w:rFonts w:ascii="Arial" w:hAnsi="Arial" w:cs="Arial"/>
                <w:sz w:val="20"/>
                <w:szCs w:val="20"/>
              </w:rPr>
            </w:r>
            <w:r w:rsidR="00A35719"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="00A35719"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E3185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3185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3779D" w:rsidRPr="00E31856" w:rsidTr="001B3720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3779D" w:rsidRPr="00E31856" w:rsidTr="001B3720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E31856" w:rsidRDefault="001946BC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Obveza studenata za stjecanje prava na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potpis je redovito pohađanje  7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0% predavanja i vježbi.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50637F">
              <w:rPr>
                <w:rFonts w:ascii="Times New Roman" w:hAnsi="Times New Roman" w:cs="Arial"/>
                <w:color w:val="FF0000"/>
                <w:sz w:val="20"/>
                <w:szCs w:val="20"/>
              </w:rPr>
              <w:t>Uz prisustvovanje, aktivno sudjelovanje u nastavi pretpostavlja i izlaganje grupnih zadataka te sudjelovanje u praktičnim vježbama i raspravama.</w:t>
            </w:r>
          </w:p>
        </w:tc>
      </w:tr>
      <w:tr w:rsidR="0033779D" w:rsidRPr="00E31856" w:rsidTr="001B3720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E3185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E31856" w:rsidRDefault="00A3571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E31856" w:rsidRDefault="00A3571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3779D" w:rsidRPr="00E31856" w:rsidTr="001B3720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33779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3779D" w:rsidRPr="00E31856" w:rsidRDefault="00A3571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3779D" w:rsidRPr="00E31856" w:rsidRDefault="00A3571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3779D" w:rsidRPr="00E31856" w:rsidRDefault="00A3571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33779D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E31856" w:rsidRDefault="00A3571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3779D" w:rsidRPr="00E31856" w:rsidTr="001B3720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33779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3779D" w:rsidRPr="00E31856" w:rsidRDefault="00A3571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3779D" w:rsidRPr="00E31856" w:rsidRDefault="00A3571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3779D" w:rsidRPr="00E31856" w:rsidRDefault="00A3571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33779D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E31856" w:rsidRDefault="00A3571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3779D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3779D" w:rsidRPr="00E31856" w:rsidTr="001B3720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33779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3779D" w:rsidRPr="001946BC" w:rsidRDefault="001946BC" w:rsidP="001B3720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1946BC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4</w:t>
            </w:r>
            <w:r w:rsidR="0033779D" w:rsidRPr="001946BC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3779D" w:rsidRPr="00E31856" w:rsidRDefault="00A3571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3779D" w:rsidRPr="00E31856" w:rsidRDefault="00A3571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3779D"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E31856" w:rsidRDefault="00A3571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3779D" w:rsidRPr="00E31856" w:rsidTr="001B3720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33779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1946BC" w:rsidRDefault="001946BC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 w:rsidRPr="001946BC">
              <w:rPr>
                <w:rFonts w:ascii="Arial" w:hAnsi="Arial" w:cs="Arial"/>
                <w:color w:val="FF0000"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E31856" w:rsidRDefault="00A3571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E31856" w:rsidRDefault="00A3571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3779D"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79D" w:rsidRPr="00E31856" w:rsidRDefault="00A3571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3779D" w:rsidRPr="00E31856" w:rsidTr="001B3720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946BC" w:rsidRDefault="001946BC" w:rsidP="001946B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Tijekom semestra održat će se pisane provjere znanja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putem dva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kolokvija. * Polaganje 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oba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kolokvija zamjenjuje završni pisani ispit.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Studenti na kraju semestra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pišu z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avršni pisani ispit.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Kolokvij i ispit se smatra položenim ukoliko student ostvari više od 60% točnih odgovora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. </w:t>
            </w:r>
          </w:p>
          <w:p w:rsidR="001946BC" w:rsidRDefault="001946BC" w:rsidP="001946B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:rsidR="001946BC" w:rsidRPr="007F27FF" w:rsidRDefault="001946BC" w:rsidP="001946B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1946BC" w:rsidRPr="007F27FF" w:rsidRDefault="001946BC" w:rsidP="001946B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0 - 59,99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nedovoljan (1)</w:t>
            </w:r>
          </w:p>
          <w:p w:rsidR="001946BC" w:rsidRPr="007F27FF" w:rsidRDefault="001946BC" w:rsidP="001946B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60 - 69,99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dovoljan (2)</w:t>
            </w:r>
          </w:p>
          <w:p w:rsidR="001946BC" w:rsidRPr="007F27FF" w:rsidRDefault="001946BC" w:rsidP="001946B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70 - 79,99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dobar (3)</w:t>
            </w:r>
          </w:p>
          <w:p w:rsidR="001946BC" w:rsidRPr="007F27FF" w:rsidRDefault="001946BC" w:rsidP="001946B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80 – 80,99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vrlo dobar (4)</w:t>
            </w:r>
          </w:p>
          <w:p w:rsidR="001946BC" w:rsidRPr="007F27FF" w:rsidRDefault="001946BC" w:rsidP="001946B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90 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-100  izvrstan (5)</w:t>
            </w:r>
          </w:p>
          <w:p w:rsidR="001946BC" w:rsidRDefault="001946BC" w:rsidP="001946B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:rsidR="001946BC" w:rsidRPr="0050637F" w:rsidRDefault="001946BC" w:rsidP="001946B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50637F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Studenti tijekom nastave mogu dobiti, svojim sudjelovanjem u nastavnom procesu, dodatnih </w:t>
            </w:r>
            <w:r w:rsidRPr="0050637F">
              <w:rPr>
                <w:rFonts w:ascii="Times New Roman" w:hAnsi="Times New Roman" w:cs="Arial"/>
                <w:color w:val="FF0000"/>
                <w:sz w:val="20"/>
                <w:szCs w:val="20"/>
              </w:rPr>
              <w:lastRenderedPageBreak/>
              <w:t>maksimalno 10 bodova koji se zbrajaju s bodovima ostvarenim u pisanim provjerama. Navedeno pravilo se odnosi samo na studente koji u pisanim provjerama ostvare pozitivnu ocjenu (60% i više).</w:t>
            </w:r>
          </w:p>
          <w:p w:rsidR="0033779D" w:rsidRPr="00E31856" w:rsidRDefault="0033779D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779D" w:rsidRPr="00E31856" w:rsidTr="001B3720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33779D" w:rsidRPr="00E31856" w:rsidTr="001B3720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3377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0D6425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Autorizirana predavanja i nastavni materijali na </w:t>
            </w:r>
            <w:proofErr w:type="spellStart"/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Moodle</w:t>
            </w:r>
            <w:proofErr w:type="spellEnd"/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0D6425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0D6425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33779D" w:rsidRPr="00E31856" w:rsidTr="001B3720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3377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33779D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33779D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A357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3779D" w:rsidRPr="00E31856" w:rsidTr="001B3720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3377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33779D" w:rsidP="001B37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A357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A357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3779D" w:rsidRPr="00E31856" w:rsidTr="001B3720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3377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33779D" w:rsidP="001B37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A357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A357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3779D" w:rsidRPr="00E31856" w:rsidTr="001B3720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3377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33779D" w:rsidP="001B37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A357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A357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3779D" w:rsidRPr="00E31856" w:rsidTr="001B3720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3377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33779D" w:rsidP="001B37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A357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A357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3779D" w:rsidRPr="00E31856" w:rsidTr="001B3720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3377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33779D" w:rsidP="001B37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A357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A357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3779D" w:rsidRPr="00E31856" w:rsidTr="001B3720">
        <w:trPr>
          <w:trHeight w:val="8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3377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33779D" w:rsidP="001B37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A357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A3571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3779D" w:rsidRPr="00E31856" w:rsidTr="001B3720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0D6425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6425">
              <w:rPr>
                <w:rFonts w:ascii="Arial" w:hAnsi="Arial" w:cs="Arial"/>
                <w:sz w:val="20"/>
                <w:szCs w:val="20"/>
              </w:rPr>
              <w:t>Dopunska literatura</w:t>
            </w:r>
          </w:p>
        </w:tc>
        <w:bookmarkStart w:id="0" w:name="bau005"/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D6425" w:rsidRPr="000D6425" w:rsidRDefault="00A35719" w:rsidP="000D6425">
            <w:pPr>
              <w:spacing w:after="0" w:line="240" w:lineRule="auto"/>
              <w:ind w:left="720" w:hanging="72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6425">
              <w:rPr>
                <w:rFonts w:ascii="Times New Roman" w:hAnsi="Times New Roman"/>
                <w:color w:val="FF0000"/>
                <w:sz w:val="20"/>
                <w:szCs w:val="20"/>
              </w:rPr>
              <w:fldChar w:fldCharType="begin"/>
            </w:r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instrText xml:space="preserve"> HYPERLINK "https://www.sciencedirect.com/science/article/abs/pii/S1062940817303194" \l "!" </w:instrText>
            </w:r>
            <w:r w:rsidRPr="000D6425">
              <w:rPr>
                <w:rFonts w:ascii="Times New Roman" w:hAnsi="Times New Roman"/>
                <w:color w:val="FF0000"/>
                <w:sz w:val="20"/>
                <w:szCs w:val="20"/>
              </w:rPr>
              <w:fldChar w:fldCharType="separate"/>
            </w:r>
            <w:r w:rsidR="000D6425" w:rsidRPr="000D6425">
              <w:rPr>
                <w:rStyle w:val="Hyperlink"/>
                <w:rFonts w:ascii="Times New Roman" w:hAnsi="Times New Roman"/>
                <w:color w:val="FF0000"/>
                <w:sz w:val="20"/>
                <w:szCs w:val="20"/>
                <w:u w:val="none"/>
              </w:rPr>
              <w:t>Škrabić Perić, B.</w:t>
            </w:r>
            <w:r w:rsidRPr="000D6425">
              <w:rPr>
                <w:rFonts w:ascii="Times New Roman" w:hAnsi="Times New Roman"/>
                <w:color w:val="FF0000"/>
                <w:sz w:val="20"/>
                <w:szCs w:val="20"/>
              </w:rPr>
              <w:fldChar w:fldCharType="end"/>
            </w:r>
            <w:bookmarkStart w:id="1" w:name="bau010"/>
            <w:bookmarkEnd w:id="0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>, R</w:t>
            </w:r>
            <w:hyperlink r:id="rId7" w:anchor="!" w:history="1">
              <w:r w:rsidR="000D6425" w:rsidRPr="000D6425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  <w:u w:val="none"/>
                </w:rPr>
                <w:t>imac Smiljanić</w:t>
              </w:r>
            </w:hyperlink>
            <w:bookmarkStart w:id="2" w:name="bau015"/>
            <w:bookmarkEnd w:id="1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A. </w:t>
            </w:r>
            <w:bookmarkEnd w:id="2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Aljinović, Z. (2018.): Credit </w:t>
            </w:r>
            <w:proofErr w:type="spellStart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>risk</w:t>
            </w:r>
            <w:proofErr w:type="spellEnd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>subsidiaries</w:t>
            </w:r>
            <w:proofErr w:type="spellEnd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>foreign</w:t>
            </w:r>
            <w:proofErr w:type="spellEnd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>banks</w:t>
            </w:r>
            <w:proofErr w:type="spellEnd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>in</w:t>
            </w:r>
            <w:proofErr w:type="spellEnd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CEE </w:t>
            </w:r>
            <w:proofErr w:type="spellStart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>countries</w:t>
            </w:r>
            <w:proofErr w:type="spellEnd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: </w:t>
            </w:r>
            <w:proofErr w:type="spellStart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>Impacts</w:t>
            </w:r>
            <w:proofErr w:type="spellEnd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>parent</w:t>
            </w:r>
            <w:proofErr w:type="spellEnd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bank </w:t>
            </w:r>
            <w:proofErr w:type="spellStart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>and</w:t>
            </w:r>
            <w:proofErr w:type="spellEnd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home </w:t>
            </w:r>
            <w:proofErr w:type="spellStart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>country</w:t>
            </w:r>
            <w:proofErr w:type="spellEnd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>economic</w:t>
            </w:r>
            <w:proofErr w:type="spellEnd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>environment</w:t>
            </w:r>
            <w:proofErr w:type="spellEnd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hyperlink r:id="rId8" w:tooltip="Go to The North American Journal of Economics and Finance on ScienceDirect" w:history="1">
              <w:r w:rsidR="000D6425" w:rsidRPr="000D6425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  <w:u w:val="none"/>
                </w:rPr>
                <w:t>The North American Journal of Economics and Finance</w:t>
              </w:r>
            </w:hyperlink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>Available</w:t>
            </w:r>
            <w:proofErr w:type="spellEnd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>online</w:t>
            </w:r>
            <w:proofErr w:type="spellEnd"/>
            <w:r w:rsidR="000D6425"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11 April 2018, </w:t>
            </w:r>
            <w:hyperlink r:id="rId9" w:tgtFrame="_blank" w:tooltip="Persistent link using digital object identifier" w:history="1">
              <w:r w:rsidR="000D6425" w:rsidRPr="000D6425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  <w:u w:val="none"/>
                </w:rPr>
                <w:t>https://doi.org/10.1016/j.najef.2018.03.009</w:t>
              </w:r>
            </w:hyperlink>
          </w:p>
          <w:p w:rsidR="000D6425" w:rsidRPr="000D6425" w:rsidRDefault="000D6425" w:rsidP="000D6425">
            <w:pPr>
              <w:spacing w:after="0" w:line="240" w:lineRule="auto"/>
              <w:ind w:left="720" w:hanging="72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0D6425">
              <w:rPr>
                <w:color w:val="FF0000"/>
              </w:rPr>
              <w:t>Varghese</w:t>
            </w:r>
            <w:proofErr w:type="spellEnd"/>
            <w:r w:rsidRPr="000D6425">
              <w:rPr>
                <w:color w:val="FF0000"/>
              </w:rPr>
              <w:t xml:space="preserve">, R., </w:t>
            </w:r>
            <w:proofErr w:type="spellStart"/>
            <w:r w:rsidRPr="000D6425">
              <w:rPr>
                <w:color w:val="FF0000"/>
              </w:rPr>
              <w:t>Zhang</w:t>
            </w:r>
            <w:proofErr w:type="spellEnd"/>
            <w:r w:rsidRPr="000D6425">
              <w:rPr>
                <w:color w:val="FF0000"/>
              </w:rPr>
              <w:t xml:space="preserve">, </w:t>
            </w:r>
            <w:proofErr w:type="spellStart"/>
            <w:r w:rsidRPr="000D6425">
              <w:rPr>
                <w:color w:val="FF0000"/>
              </w:rPr>
              <w:t>Y.S</w:t>
            </w:r>
            <w:proofErr w:type="spellEnd"/>
            <w:r w:rsidRPr="000D6425">
              <w:rPr>
                <w:color w:val="FF0000"/>
              </w:rPr>
              <w:t xml:space="preserve">.: (2018): A New </w:t>
            </w:r>
            <w:proofErr w:type="spellStart"/>
            <w:r w:rsidRPr="000D6425">
              <w:rPr>
                <w:color w:val="FF0000"/>
              </w:rPr>
              <w:t>Wave</w:t>
            </w:r>
            <w:proofErr w:type="spellEnd"/>
            <w:r w:rsidRPr="000D6425">
              <w:rPr>
                <w:color w:val="FF0000"/>
              </w:rPr>
              <w:t xml:space="preserve"> </w:t>
            </w:r>
            <w:proofErr w:type="spellStart"/>
            <w:r w:rsidRPr="000D6425">
              <w:rPr>
                <w:color w:val="FF0000"/>
              </w:rPr>
              <w:t>of</w:t>
            </w:r>
            <w:proofErr w:type="spellEnd"/>
            <w:r w:rsidRPr="000D6425">
              <w:rPr>
                <w:color w:val="FF0000"/>
              </w:rPr>
              <w:t xml:space="preserve"> ECB’s </w:t>
            </w:r>
            <w:proofErr w:type="spellStart"/>
            <w:r w:rsidRPr="000D6425">
              <w:rPr>
                <w:color w:val="FF0000"/>
              </w:rPr>
              <w:t>Unconventional</w:t>
            </w:r>
            <w:proofErr w:type="spellEnd"/>
            <w:r w:rsidRPr="000D6425">
              <w:rPr>
                <w:color w:val="FF0000"/>
              </w:rPr>
              <w:t xml:space="preserve"> </w:t>
            </w:r>
            <w:proofErr w:type="spellStart"/>
            <w:r w:rsidRPr="000D6425">
              <w:rPr>
                <w:color w:val="FF0000"/>
              </w:rPr>
              <w:t>Monetary</w:t>
            </w:r>
            <w:proofErr w:type="spellEnd"/>
            <w:r w:rsidRPr="000D6425">
              <w:rPr>
                <w:color w:val="FF0000"/>
              </w:rPr>
              <w:t xml:space="preserve"> </w:t>
            </w:r>
            <w:proofErr w:type="spellStart"/>
            <w:r w:rsidRPr="000D6425">
              <w:rPr>
                <w:color w:val="FF0000"/>
              </w:rPr>
              <w:t>Policies</w:t>
            </w:r>
            <w:proofErr w:type="spellEnd"/>
            <w:r w:rsidRPr="000D6425">
              <w:rPr>
                <w:color w:val="FF0000"/>
              </w:rPr>
              <w:t xml:space="preserve">: </w:t>
            </w:r>
            <w:proofErr w:type="spellStart"/>
            <w:r w:rsidRPr="000D6425">
              <w:rPr>
                <w:color w:val="FF0000"/>
              </w:rPr>
              <w:t>Domestic</w:t>
            </w:r>
            <w:proofErr w:type="spellEnd"/>
            <w:r w:rsidRPr="000D6425">
              <w:rPr>
                <w:color w:val="FF0000"/>
              </w:rPr>
              <w:t xml:space="preserve"> </w:t>
            </w:r>
            <w:proofErr w:type="spellStart"/>
            <w:r w:rsidRPr="000D6425">
              <w:rPr>
                <w:color w:val="FF0000"/>
              </w:rPr>
              <w:t>Impact</w:t>
            </w:r>
            <w:proofErr w:type="spellEnd"/>
            <w:r w:rsidRPr="000D6425">
              <w:rPr>
                <w:color w:val="FF0000"/>
              </w:rPr>
              <w:t xml:space="preserve"> </w:t>
            </w:r>
            <w:proofErr w:type="spellStart"/>
            <w:r w:rsidRPr="000D6425">
              <w:rPr>
                <w:color w:val="FF0000"/>
              </w:rPr>
              <w:t>and</w:t>
            </w:r>
            <w:proofErr w:type="spellEnd"/>
            <w:r w:rsidRPr="000D6425">
              <w:rPr>
                <w:color w:val="FF0000"/>
              </w:rPr>
              <w:t xml:space="preserve"> </w:t>
            </w:r>
            <w:proofErr w:type="spellStart"/>
            <w:r w:rsidRPr="000D6425">
              <w:rPr>
                <w:color w:val="FF0000"/>
              </w:rPr>
              <w:t>Spillovers</w:t>
            </w:r>
            <w:proofErr w:type="spellEnd"/>
            <w:r w:rsidRPr="000D6425">
              <w:rPr>
                <w:color w:val="FF0000"/>
              </w:rPr>
              <w:t xml:space="preserve"> Richard, IMF </w:t>
            </w:r>
            <w:proofErr w:type="spellStart"/>
            <w:r w:rsidRPr="000D6425">
              <w:rPr>
                <w:color w:val="FF0000"/>
              </w:rPr>
              <w:t>Working</w:t>
            </w:r>
            <w:proofErr w:type="spellEnd"/>
            <w:r w:rsidRPr="000D6425">
              <w:rPr>
                <w:color w:val="FF0000"/>
              </w:rPr>
              <w:t xml:space="preserve"> </w:t>
            </w:r>
            <w:proofErr w:type="spellStart"/>
            <w:r w:rsidRPr="000D6425">
              <w:rPr>
                <w:color w:val="FF0000"/>
              </w:rPr>
              <w:t>Paper</w:t>
            </w:r>
            <w:proofErr w:type="spellEnd"/>
            <w:r w:rsidRPr="000D6425">
              <w:rPr>
                <w:color w:val="FF0000"/>
              </w:rPr>
              <w:t xml:space="preserve">, WP 18/11, </w:t>
            </w:r>
            <w:proofErr w:type="spellStart"/>
            <w:r w:rsidRPr="000D6425">
              <w:rPr>
                <w:color w:val="FF0000"/>
              </w:rPr>
              <w:t>International</w:t>
            </w:r>
            <w:proofErr w:type="spellEnd"/>
            <w:r w:rsidRPr="000D6425">
              <w:rPr>
                <w:color w:val="FF0000"/>
              </w:rPr>
              <w:t xml:space="preserve"> </w:t>
            </w:r>
            <w:proofErr w:type="spellStart"/>
            <w:r w:rsidRPr="000D6425">
              <w:rPr>
                <w:color w:val="FF0000"/>
              </w:rPr>
              <w:t>Monetary</w:t>
            </w:r>
            <w:proofErr w:type="spellEnd"/>
            <w:r w:rsidRPr="000D6425">
              <w:rPr>
                <w:color w:val="FF0000"/>
              </w:rPr>
              <w:t xml:space="preserve"> </w:t>
            </w:r>
            <w:proofErr w:type="spellStart"/>
            <w:r w:rsidRPr="000D6425">
              <w:rPr>
                <w:color w:val="FF0000"/>
              </w:rPr>
              <w:t>Found</w:t>
            </w:r>
            <w:proofErr w:type="spellEnd"/>
            <w:r w:rsidRPr="000D6425">
              <w:rPr>
                <w:color w:val="FF0000"/>
              </w:rPr>
              <w:t xml:space="preserve">. </w:t>
            </w:r>
          </w:p>
          <w:p w:rsidR="000D6425" w:rsidRPr="000D6425" w:rsidRDefault="000D6425" w:rsidP="000D6425">
            <w:pPr>
              <w:spacing w:after="0" w:line="240" w:lineRule="auto"/>
              <w:ind w:left="720" w:hanging="72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Guerini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,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Mattia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and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Lamperti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,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Francesco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and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Mazzocchetti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,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Andrea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,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Unconventional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Monetary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Policy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: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Between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the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Past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and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Future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of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Monetary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Economics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(April 23, 2018). LEM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Working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Papers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,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Forthcoming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.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Available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at SSRN: </w:t>
            </w:r>
            <w:hyperlink r:id="rId10" w:tgtFrame="_blank" w:history="1">
              <w:r w:rsidRPr="000D6425">
                <w:rPr>
                  <w:rStyle w:val="Hyperlink"/>
                  <w:rFonts w:ascii="NexusSansWebPro" w:hAnsi="NexusSansWebPro"/>
                  <w:color w:val="FF0000"/>
                  <w:shd w:val="clear" w:color="auto" w:fill="FFFFFF"/>
                </w:rPr>
                <w:t>https://ssrn.com/abstract=3167969</w:t>
              </w:r>
            </w:hyperlink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 or </w:t>
            </w:r>
            <w:hyperlink r:id="rId11" w:tgtFrame="_blank" w:history="1">
              <w:r w:rsidRPr="000D6425">
                <w:rPr>
                  <w:rStyle w:val="Hyperlink"/>
                  <w:rFonts w:ascii="NexusSansWebPro" w:hAnsi="NexusSansWebPro"/>
                  <w:color w:val="FF0000"/>
                  <w:shd w:val="clear" w:color="auto" w:fill="FFFFFF"/>
                </w:rPr>
                <w:t>http://dx.doi.org/10.2139/ssrn.3167969</w:t>
              </w:r>
            </w:hyperlink>
          </w:p>
          <w:p w:rsidR="000D6425" w:rsidRPr="000D6425" w:rsidRDefault="000D6425" w:rsidP="000D6425">
            <w:pPr>
              <w:spacing w:after="0" w:line="240" w:lineRule="auto"/>
              <w:ind w:left="720" w:hanging="72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Bordo, Michael D.,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An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Historical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Perspective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on Financial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Stability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and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Monetary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Policy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Regimes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: A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Case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for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Caution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in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Central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Banks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Current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Obsession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with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Financial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Stability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(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March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16, 2018).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Norges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Bank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Working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Paper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5/2018. </w:t>
            </w:r>
            <w:proofErr w:type="spellStart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Available</w:t>
            </w:r>
            <w:proofErr w:type="spellEnd"/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 xml:space="preserve"> at SSRN: </w:t>
            </w:r>
            <w:hyperlink r:id="rId12" w:tgtFrame="_blank" w:history="1">
              <w:r w:rsidRPr="000D6425">
                <w:rPr>
                  <w:rStyle w:val="Hyperlink"/>
                  <w:rFonts w:ascii="NexusSansWebPro" w:hAnsi="NexusSansWebPro"/>
                  <w:color w:val="FF0000"/>
                  <w:shd w:val="clear" w:color="auto" w:fill="FFFFFF"/>
                </w:rPr>
                <w:t>https://ssrn.com/abstract=3160020</w:t>
              </w:r>
            </w:hyperlink>
            <w:r w:rsidRPr="000D6425">
              <w:rPr>
                <w:rFonts w:ascii="NexusSansWebPro" w:hAnsi="NexusSansWebPro"/>
                <w:color w:val="FF0000"/>
                <w:shd w:val="clear" w:color="auto" w:fill="FFFFFF"/>
              </w:rPr>
              <w:t> or </w:t>
            </w:r>
            <w:hyperlink r:id="rId13" w:tgtFrame="_blank" w:history="1">
              <w:r w:rsidRPr="000D6425">
                <w:rPr>
                  <w:rStyle w:val="Hyperlink"/>
                  <w:rFonts w:ascii="NexusSansWebPro" w:hAnsi="NexusSansWebPro"/>
                  <w:color w:val="FF0000"/>
                  <w:shd w:val="clear" w:color="auto" w:fill="FFFFFF"/>
                </w:rPr>
                <w:t>http://dx.doi.org/10.2139/ssrn.3160020</w:t>
              </w:r>
            </w:hyperlink>
          </w:p>
          <w:p w:rsidR="000D6425" w:rsidRPr="000D6425" w:rsidRDefault="000D6425" w:rsidP="000D6425">
            <w:pPr>
              <w:spacing w:after="0" w:line="240" w:lineRule="auto"/>
              <w:ind w:left="720" w:hanging="720"/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</w:pPr>
            <w:proofErr w:type="spellStart"/>
            <w:r w:rsidRPr="000D6425"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  <w:t>Mishkin</w:t>
            </w:r>
            <w:proofErr w:type="spellEnd"/>
            <w:r w:rsidRPr="000D6425"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  <w:t>, Frederic (2011): MONETARY POLICY STRATEGY: LESSONS FROM THE CRISIS, NBER, NBER WORKING PAPER SERIES, Working Paper 16755</w:t>
            </w:r>
          </w:p>
          <w:p w:rsidR="000D6425" w:rsidRPr="000D6425" w:rsidRDefault="000D6425" w:rsidP="000D6425">
            <w:pPr>
              <w:spacing w:after="0" w:line="240" w:lineRule="auto"/>
              <w:ind w:left="720" w:hanging="720"/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</w:pPr>
            <w:proofErr w:type="spellStart"/>
            <w:r w:rsidRPr="000D6425"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  <w:t>Mishkin</w:t>
            </w:r>
            <w:proofErr w:type="spellEnd"/>
            <w:r w:rsidRPr="000D6425"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  <w:t xml:space="preserve">, Frederic (2007) "How Did We Get Here?" in Frederic </w:t>
            </w:r>
            <w:proofErr w:type="spellStart"/>
            <w:r w:rsidRPr="000D6425"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  <w:t>Mishkin</w:t>
            </w:r>
            <w:proofErr w:type="spellEnd"/>
            <w:r w:rsidRPr="000D6425"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  <w:t>, Monetary Policy Strategy, MIT Press, Cambridge and London.</w:t>
            </w:r>
          </w:p>
          <w:p w:rsidR="000D6425" w:rsidRPr="000D6425" w:rsidRDefault="000D6425" w:rsidP="000D6425">
            <w:pPr>
              <w:spacing w:after="0" w:line="240" w:lineRule="auto"/>
              <w:ind w:left="720" w:hanging="720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0D6425"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  <w:t>Taylor, John B., "A Historical Analysis of Monetary Policy Rules" in John B. Taylor, ed., Monetary Policy Rules, NBER and University of Chicago Press, 1999, p. 319-341.</w:t>
            </w:r>
          </w:p>
          <w:p w:rsidR="000D6425" w:rsidRPr="000D6425" w:rsidRDefault="000D6425" w:rsidP="000D6425">
            <w:pPr>
              <w:spacing w:after="0" w:line="240" w:lineRule="auto"/>
              <w:ind w:left="720" w:hanging="720"/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</w:pPr>
            <w:r w:rsidRPr="000D6425"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  <w:t>King, Mervyn (2002) "The inflation target ten years on" Bank of England Quarterly Review, Winter, p. 459-474.</w:t>
            </w:r>
          </w:p>
          <w:p w:rsidR="000D6425" w:rsidRPr="000D6425" w:rsidRDefault="000D6425" w:rsidP="000D6425">
            <w:pPr>
              <w:spacing w:after="0" w:line="240" w:lineRule="auto"/>
              <w:ind w:left="720" w:hanging="720"/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</w:pPr>
            <w:r w:rsidRPr="000D6425"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  <w:tab/>
              <w:t xml:space="preserve">European Central Bank, "Monthly Bulletin--the 10th Anniversary of the ECB" </w:t>
            </w:r>
            <w:proofErr w:type="spellStart"/>
            <w:r w:rsidRPr="000D6425"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  <w:t>Poglavlja</w:t>
            </w:r>
            <w:proofErr w:type="spellEnd"/>
            <w:r w:rsidRPr="000D6425"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  <w:t xml:space="preserve"> 1-4 </w:t>
            </w:r>
          </w:p>
          <w:p w:rsidR="000D6425" w:rsidRPr="000D6425" w:rsidRDefault="000D6425" w:rsidP="000D6425">
            <w:pPr>
              <w:spacing w:after="0" w:line="240" w:lineRule="auto"/>
              <w:ind w:left="720" w:hanging="720"/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</w:pPr>
            <w:r w:rsidRPr="000D6425"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  <w:t xml:space="preserve">Beyer, Andreas, </w:t>
            </w:r>
            <w:proofErr w:type="spellStart"/>
            <w:r w:rsidRPr="000D6425"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  <w:t>Vitor</w:t>
            </w:r>
            <w:proofErr w:type="spellEnd"/>
            <w:r w:rsidRPr="000D6425"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  <w:t xml:space="preserve"> Gaspar, Christina </w:t>
            </w:r>
            <w:proofErr w:type="spellStart"/>
            <w:r w:rsidRPr="000D6425"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  <w:t>Geberding</w:t>
            </w:r>
            <w:proofErr w:type="spellEnd"/>
            <w:r w:rsidRPr="000D6425"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  <w:t xml:space="preserve"> and </w:t>
            </w:r>
            <w:proofErr w:type="spellStart"/>
            <w:r w:rsidRPr="000D6425"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  <w:t>Otmar</w:t>
            </w:r>
            <w:proofErr w:type="spellEnd"/>
            <w:r w:rsidRPr="000D6425"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  <w:t xml:space="preserve"> </w:t>
            </w:r>
            <w:proofErr w:type="spellStart"/>
            <w:r w:rsidRPr="000D6425"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  <w:t>Issing</w:t>
            </w:r>
            <w:proofErr w:type="spellEnd"/>
            <w:r w:rsidRPr="000D6425"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  <w:t xml:space="preserve"> (2009) "Opting Out of the Great Inflation: German Monetary Policy after the Breakdown of Bretton Woods" European Central Bank Working Paper 1020, March. </w:t>
            </w:r>
          </w:p>
          <w:p w:rsidR="000D6425" w:rsidRPr="000D6425" w:rsidRDefault="000D6425" w:rsidP="000D6425">
            <w:pPr>
              <w:spacing w:after="0" w:line="240" w:lineRule="auto"/>
              <w:ind w:left="720" w:hanging="720"/>
              <w:rPr>
                <w:rFonts w:ascii="Times New Roman" w:hAnsi="Times New Roman"/>
                <w:sz w:val="20"/>
                <w:szCs w:val="20"/>
                <w:lang/>
              </w:rPr>
            </w:pPr>
            <w:r w:rsidRPr="000D6425"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  <w:t xml:space="preserve">De </w:t>
            </w:r>
            <w:proofErr w:type="spellStart"/>
            <w:r w:rsidRPr="000D6425"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  <w:t>Grauwe</w:t>
            </w:r>
            <w:proofErr w:type="spellEnd"/>
            <w:r w:rsidRPr="000D6425">
              <w:rPr>
                <w:rFonts w:ascii="Times New Roman" w:hAnsi="Times New Roman"/>
                <w:b/>
                <w:color w:val="FF0000"/>
                <w:sz w:val="20"/>
                <w:szCs w:val="20"/>
                <w:lang/>
              </w:rPr>
              <w:t xml:space="preserve">, Paul (1989) International Money: Post-War Trends and Theories, Oxford </w:t>
            </w:r>
            <w:r w:rsidRPr="000D6425">
              <w:rPr>
                <w:rFonts w:ascii="Times New Roman" w:hAnsi="Times New Roman"/>
                <w:sz w:val="20"/>
                <w:szCs w:val="20"/>
                <w:lang/>
              </w:rPr>
              <w:lastRenderedPageBreak/>
              <w:t>University Press, Chapters 1-3.</w:t>
            </w:r>
          </w:p>
          <w:p w:rsidR="000D6425" w:rsidRPr="000D6425" w:rsidRDefault="000D6425" w:rsidP="000D6425">
            <w:pPr>
              <w:spacing w:after="0" w:line="240" w:lineRule="auto"/>
              <w:ind w:left="720" w:hanging="720"/>
              <w:rPr>
                <w:rFonts w:ascii="Times New Roman" w:hAnsi="Times New Roman"/>
                <w:sz w:val="20"/>
                <w:szCs w:val="20"/>
                <w:lang/>
              </w:rPr>
            </w:pPr>
            <w:proofErr w:type="spellStart"/>
            <w:r w:rsidRPr="000D6425">
              <w:rPr>
                <w:rFonts w:ascii="Times New Roman" w:hAnsi="Times New Roman"/>
                <w:sz w:val="20"/>
                <w:szCs w:val="20"/>
                <w:lang/>
              </w:rPr>
              <w:t>Issing</w:t>
            </w:r>
            <w:proofErr w:type="spellEnd"/>
            <w:r w:rsidRPr="000D6425">
              <w:rPr>
                <w:rFonts w:ascii="Times New Roman" w:hAnsi="Times New Roman"/>
                <w:sz w:val="20"/>
                <w:szCs w:val="20"/>
                <w:lang/>
              </w:rPr>
              <w:t xml:space="preserve">, </w:t>
            </w:r>
            <w:proofErr w:type="spellStart"/>
            <w:r w:rsidRPr="000D6425">
              <w:rPr>
                <w:rFonts w:ascii="Times New Roman" w:hAnsi="Times New Roman"/>
                <w:sz w:val="20"/>
                <w:szCs w:val="20"/>
                <w:lang/>
              </w:rPr>
              <w:t>Otmar</w:t>
            </w:r>
            <w:proofErr w:type="spellEnd"/>
            <w:r w:rsidRPr="000D6425">
              <w:rPr>
                <w:rFonts w:ascii="Times New Roman" w:hAnsi="Times New Roman"/>
                <w:sz w:val="20"/>
                <w:szCs w:val="20"/>
                <w:lang/>
              </w:rPr>
              <w:t xml:space="preserve"> (2010) "The Development of Monetary Policy in the 20th Century: Some Reflections" National Bank of Belgium Working Paper.</w:t>
            </w:r>
          </w:p>
          <w:p w:rsidR="000D6425" w:rsidRPr="000D6425" w:rsidRDefault="000D6425" w:rsidP="000D6425">
            <w:pPr>
              <w:spacing w:after="0" w:line="240" w:lineRule="auto"/>
              <w:ind w:left="720" w:hanging="720"/>
              <w:rPr>
                <w:rFonts w:ascii="Times New Roman" w:hAnsi="Times New Roman"/>
                <w:sz w:val="20"/>
                <w:szCs w:val="20"/>
                <w:lang/>
              </w:rPr>
            </w:pPr>
            <w:proofErr w:type="spellStart"/>
            <w:r w:rsidRPr="000D6425">
              <w:rPr>
                <w:rFonts w:ascii="Times New Roman" w:hAnsi="Times New Roman"/>
                <w:sz w:val="20"/>
                <w:szCs w:val="20"/>
                <w:lang/>
              </w:rPr>
              <w:t>Mishkin</w:t>
            </w:r>
            <w:proofErr w:type="spellEnd"/>
            <w:r w:rsidRPr="000D6425">
              <w:rPr>
                <w:rFonts w:ascii="Times New Roman" w:hAnsi="Times New Roman"/>
                <w:sz w:val="20"/>
                <w:szCs w:val="20"/>
                <w:lang/>
              </w:rPr>
              <w:t>, Frederic (1999) "International Experiences with Different Monetary Policy Regimes" NBER Working Paper 6965.</w:t>
            </w:r>
          </w:p>
          <w:p w:rsidR="000D6425" w:rsidRPr="000D6425" w:rsidRDefault="000D6425" w:rsidP="000D6425">
            <w:pPr>
              <w:spacing w:after="0" w:line="240" w:lineRule="auto"/>
              <w:ind w:left="720" w:hanging="720"/>
              <w:rPr>
                <w:rFonts w:ascii="Times New Roman" w:hAnsi="Times New Roman"/>
                <w:sz w:val="20"/>
                <w:szCs w:val="20"/>
                <w:lang/>
              </w:rPr>
            </w:pPr>
            <w:proofErr w:type="spellStart"/>
            <w:r w:rsidRPr="000D6425">
              <w:rPr>
                <w:rFonts w:ascii="Times New Roman" w:hAnsi="Times New Roman"/>
                <w:sz w:val="20"/>
                <w:szCs w:val="20"/>
                <w:lang/>
              </w:rPr>
              <w:t>Dornbusch</w:t>
            </w:r>
            <w:proofErr w:type="spellEnd"/>
            <w:r w:rsidRPr="000D6425">
              <w:rPr>
                <w:rFonts w:ascii="Times New Roman" w:hAnsi="Times New Roman"/>
                <w:sz w:val="20"/>
                <w:szCs w:val="20"/>
                <w:lang/>
              </w:rPr>
              <w:t xml:space="preserve">, </w:t>
            </w:r>
            <w:proofErr w:type="spellStart"/>
            <w:r w:rsidRPr="000D6425">
              <w:rPr>
                <w:rFonts w:ascii="Times New Roman" w:hAnsi="Times New Roman"/>
                <w:sz w:val="20"/>
                <w:szCs w:val="20"/>
                <w:lang/>
              </w:rPr>
              <w:t>Rudiger</w:t>
            </w:r>
            <w:proofErr w:type="spellEnd"/>
            <w:r w:rsidRPr="000D6425">
              <w:rPr>
                <w:rFonts w:ascii="Times New Roman" w:hAnsi="Times New Roman"/>
                <w:sz w:val="20"/>
                <w:szCs w:val="20"/>
                <w:lang/>
              </w:rPr>
              <w:t xml:space="preserve"> (2001) "Few Monies, Better Monies" American Economic Review Volume 91, Number 2, p. 238-242. </w:t>
            </w:r>
          </w:p>
          <w:p w:rsidR="000D6425" w:rsidRPr="000D6425" w:rsidRDefault="000D6425" w:rsidP="000D6425">
            <w:pPr>
              <w:spacing w:after="0" w:line="240" w:lineRule="auto"/>
              <w:ind w:left="720" w:hanging="720"/>
              <w:rPr>
                <w:rFonts w:ascii="Times New Roman" w:hAnsi="Times New Roman"/>
                <w:sz w:val="20"/>
                <w:szCs w:val="20"/>
                <w:lang/>
              </w:rPr>
            </w:pPr>
            <w:r w:rsidRPr="000D6425">
              <w:rPr>
                <w:rFonts w:ascii="Times New Roman" w:hAnsi="Times New Roman"/>
                <w:sz w:val="20"/>
                <w:szCs w:val="20"/>
                <w:lang/>
              </w:rPr>
              <w:t>Fischer, Stanley (2001) "Exchange Rate Regimes: Is the Bipolar View Correct?" Journal of Economic Perspectives Volume 15, Number 2, p. 3-24</w:t>
            </w:r>
          </w:p>
          <w:p w:rsidR="000D6425" w:rsidRPr="000D6425" w:rsidRDefault="000D6425" w:rsidP="000D6425">
            <w:pPr>
              <w:spacing w:after="0" w:line="240" w:lineRule="auto"/>
              <w:ind w:left="720" w:hanging="720"/>
              <w:rPr>
                <w:rFonts w:ascii="Times New Roman" w:hAnsi="Times New Roman"/>
                <w:sz w:val="20"/>
                <w:szCs w:val="20"/>
                <w:lang/>
              </w:rPr>
            </w:pPr>
            <w:r w:rsidRPr="000D6425">
              <w:rPr>
                <w:rFonts w:ascii="Times New Roman" w:hAnsi="Times New Roman"/>
                <w:sz w:val="20"/>
                <w:szCs w:val="20"/>
                <w:lang/>
              </w:rPr>
              <w:t xml:space="preserve">Bernanke, Ben S., and Cara S. </w:t>
            </w:r>
            <w:proofErr w:type="spellStart"/>
            <w:r w:rsidRPr="000D6425">
              <w:rPr>
                <w:rFonts w:ascii="Times New Roman" w:hAnsi="Times New Roman"/>
                <w:sz w:val="20"/>
                <w:szCs w:val="20"/>
                <w:lang/>
              </w:rPr>
              <w:t>Lown</w:t>
            </w:r>
            <w:proofErr w:type="spellEnd"/>
            <w:r w:rsidRPr="000D6425">
              <w:rPr>
                <w:rFonts w:ascii="Times New Roman" w:hAnsi="Times New Roman"/>
                <w:sz w:val="20"/>
                <w:szCs w:val="20"/>
                <w:lang/>
              </w:rPr>
              <w:t xml:space="preserve"> (1991) "The Credit Crunch," Brookings Papers on Economic Activity, 1991:2, pp. 205-39.</w:t>
            </w:r>
          </w:p>
          <w:p w:rsidR="000D6425" w:rsidRPr="000D6425" w:rsidRDefault="000D6425" w:rsidP="000D6425">
            <w:pPr>
              <w:spacing w:after="0" w:line="240" w:lineRule="auto"/>
              <w:ind w:left="720" w:hanging="720"/>
              <w:rPr>
                <w:rFonts w:ascii="Times New Roman" w:hAnsi="Times New Roman"/>
                <w:sz w:val="20"/>
                <w:szCs w:val="20"/>
                <w:lang/>
              </w:rPr>
            </w:pPr>
            <w:r w:rsidRPr="000D6425">
              <w:rPr>
                <w:rFonts w:ascii="Times New Roman" w:hAnsi="Times New Roman"/>
                <w:sz w:val="20"/>
                <w:szCs w:val="20"/>
                <w:lang/>
              </w:rPr>
              <w:t xml:space="preserve">Friedman, Benjamin and Kenneth </w:t>
            </w:r>
            <w:proofErr w:type="spellStart"/>
            <w:r w:rsidRPr="000D6425">
              <w:rPr>
                <w:rFonts w:ascii="Times New Roman" w:hAnsi="Times New Roman"/>
                <w:sz w:val="20"/>
                <w:szCs w:val="20"/>
                <w:lang/>
              </w:rPr>
              <w:t>Kuttner</w:t>
            </w:r>
            <w:proofErr w:type="spellEnd"/>
            <w:r w:rsidRPr="000D6425">
              <w:rPr>
                <w:rFonts w:ascii="Times New Roman" w:hAnsi="Times New Roman"/>
                <w:sz w:val="20"/>
                <w:szCs w:val="20"/>
                <w:lang/>
              </w:rPr>
              <w:t xml:space="preserve"> (1993), "Another Look at the Evidence on Money-Income Causality" Journal of Econometrics 57:189-203. </w:t>
            </w:r>
          </w:p>
          <w:p w:rsidR="000D6425" w:rsidRPr="000D6425" w:rsidRDefault="000D6425" w:rsidP="000D6425">
            <w:pPr>
              <w:spacing w:after="0" w:line="240" w:lineRule="auto"/>
              <w:ind w:left="720" w:hanging="720"/>
              <w:rPr>
                <w:rFonts w:ascii="Times New Roman" w:hAnsi="Times New Roman"/>
                <w:color w:val="FF0000"/>
                <w:sz w:val="20"/>
                <w:szCs w:val="20"/>
                <w:lang/>
              </w:rPr>
            </w:pPr>
            <w:proofErr w:type="spellStart"/>
            <w:r w:rsidRPr="000D6425">
              <w:rPr>
                <w:rFonts w:ascii="Times New Roman" w:hAnsi="Times New Roman"/>
                <w:sz w:val="20"/>
                <w:szCs w:val="20"/>
                <w:lang/>
              </w:rPr>
              <w:t>Orphanides</w:t>
            </w:r>
            <w:proofErr w:type="spellEnd"/>
            <w:r w:rsidRPr="000D6425">
              <w:rPr>
                <w:rFonts w:ascii="Times New Roman" w:hAnsi="Times New Roman"/>
                <w:sz w:val="20"/>
                <w:szCs w:val="20"/>
                <w:lang/>
              </w:rPr>
              <w:t xml:space="preserve">, </w:t>
            </w:r>
            <w:proofErr w:type="spellStart"/>
            <w:r w:rsidRPr="000D6425">
              <w:rPr>
                <w:rFonts w:ascii="Times New Roman" w:hAnsi="Times New Roman"/>
                <w:sz w:val="20"/>
                <w:szCs w:val="20"/>
                <w:lang/>
              </w:rPr>
              <w:t>Athanasios</w:t>
            </w:r>
            <w:proofErr w:type="spellEnd"/>
            <w:r w:rsidRPr="000D6425">
              <w:rPr>
                <w:rFonts w:ascii="Times New Roman" w:hAnsi="Times New Roman"/>
                <w:sz w:val="20"/>
                <w:szCs w:val="20"/>
                <w:lang/>
              </w:rPr>
              <w:t xml:space="preserve"> and Volker Wieland (2008) "Economic Projections and Rules of Thumb for Monetary Policy" Federal</w:t>
            </w:r>
            <w:r w:rsidRPr="000D6425">
              <w:rPr>
                <w:rFonts w:ascii="Times New Roman" w:hAnsi="Times New Roman"/>
                <w:color w:val="FF0000"/>
                <w:sz w:val="20"/>
                <w:szCs w:val="20"/>
                <w:lang/>
              </w:rPr>
              <w:t xml:space="preserve"> Reserve Bank of St. Louis Review July/</w:t>
            </w:r>
            <w:proofErr w:type="gramStart"/>
            <w:r w:rsidRPr="000D6425">
              <w:rPr>
                <w:rFonts w:ascii="Times New Roman" w:hAnsi="Times New Roman"/>
                <w:color w:val="FF0000"/>
                <w:sz w:val="20"/>
                <w:szCs w:val="20"/>
                <w:lang/>
              </w:rPr>
              <w:t>August  90</w:t>
            </w:r>
            <w:proofErr w:type="gramEnd"/>
            <w:r w:rsidRPr="000D6425">
              <w:rPr>
                <w:rFonts w:ascii="Times New Roman" w:hAnsi="Times New Roman"/>
                <w:color w:val="FF0000"/>
                <w:sz w:val="20"/>
                <w:szCs w:val="20"/>
                <w:lang/>
              </w:rPr>
              <w:t xml:space="preserve">(4) p. 307-24.  </w:t>
            </w:r>
          </w:p>
          <w:p w:rsidR="000D6425" w:rsidRPr="00802B92" w:rsidRDefault="000D6425" w:rsidP="000D6425">
            <w:pPr>
              <w:spacing w:after="0" w:line="240" w:lineRule="auto"/>
              <w:ind w:left="720" w:hanging="720"/>
              <w:rPr>
                <w:rFonts w:ascii="Times New Roman" w:eastAsiaTheme="minorHAnsi" w:hAnsi="Times New Roman"/>
                <w:color w:val="FF0000"/>
                <w:sz w:val="20"/>
                <w:szCs w:val="20"/>
                <w:lang/>
              </w:rPr>
            </w:pPr>
            <w:r w:rsidRPr="000D6425">
              <w:rPr>
                <w:rFonts w:ascii="Times New Roman" w:hAnsi="Times New Roman"/>
                <w:color w:val="FF0000"/>
                <w:sz w:val="20"/>
                <w:szCs w:val="20"/>
                <w:lang/>
              </w:rPr>
              <w:t xml:space="preserve">World Bank (2018): Global Financial Development Report 2017/2018 : Bankers without Borders, </w:t>
            </w:r>
            <w:proofErr w:type="spellStart"/>
            <w:r w:rsidRPr="000D6425">
              <w:rPr>
                <w:rFonts w:ascii="Times New Roman" w:hAnsi="Times New Roman"/>
                <w:color w:val="FF0000"/>
                <w:sz w:val="20"/>
                <w:szCs w:val="20"/>
                <w:lang/>
              </w:rPr>
              <w:t>Wolrl</w:t>
            </w:r>
            <w:proofErr w:type="spellEnd"/>
            <w:r w:rsidRPr="000D6425">
              <w:rPr>
                <w:rFonts w:ascii="Times New Roman" w:hAnsi="Times New Roman"/>
                <w:color w:val="FF0000"/>
                <w:sz w:val="20"/>
                <w:szCs w:val="20"/>
                <w:lang/>
              </w:rPr>
              <w:t xml:space="preserve"> Bank, https://openknowledge.worldbank.org/handle/10986/28482?show=full</w:t>
            </w:r>
          </w:p>
          <w:p w:rsidR="000D6425" w:rsidRPr="000D6425" w:rsidRDefault="000D6425" w:rsidP="000D6425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0D6425" w:rsidRPr="000D6425" w:rsidRDefault="000D6425" w:rsidP="000D6425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>Ostali izvori:</w:t>
            </w:r>
          </w:p>
          <w:p w:rsidR="000D6425" w:rsidRPr="000D6425" w:rsidRDefault="000D6425" w:rsidP="000D6425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Vijesti, slučajevi i podaci  s portala Hrvatske narodne banke, </w:t>
            </w:r>
            <w:hyperlink r:id="rId14" w:history="1">
              <w:r w:rsidRPr="000D6425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  <w:u w:val="none"/>
                </w:rPr>
                <w:t>https://www.</w:t>
              </w:r>
            </w:hyperlink>
            <w:r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>hnb.hr</w:t>
            </w:r>
          </w:p>
          <w:p w:rsidR="000D6425" w:rsidRPr="000D6425" w:rsidRDefault="000D6425" w:rsidP="000D6425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Vijesti, slučajevi i podaci  s portala Banke za međunarodna poravnanja, </w:t>
            </w:r>
            <w:hyperlink r:id="rId15" w:history="1">
              <w:r w:rsidRPr="000D6425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  <w:u w:val="none"/>
                </w:rPr>
                <w:t>https://www.bis.org/</w:t>
              </w:r>
            </w:hyperlink>
          </w:p>
          <w:p w:rsidR="000D6425" w:rsidRPr="000D6425" w:rsidRDefault="000D6425" w:rsidP="000D6425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Vijesti, slučajevi i podaci  s portala Svjetske banke,  </w:t>
            </w:r>
            <w:hyperlink r:id="rId16" w:history="1">
              <w:r w:rsidRPr="000D6425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  <w:u w:val="none"/>
                </w:rPr>
                <w:t>https://www.Worldbank.org</w:t>
              </w:r>
            </w:hyperlink>
          </w:p>
          <w:p w:rsidR="000D6425" w:rsidRPr="000D6425" w:rsidRDefault="000D6425" w:rsidP="000D6425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D642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Vijesti, slučajevi i podaci  s portala Međunarodnog monetarnog fonda, </w:t>
            </w:r>
            <w:hyperlink r:id="rId17" w:history="1">
              <w:r w:rsidRPr="000D6425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  <w:u w:val="none"/>
                </w:rPr>
                <w:t>www.imf.org</w:t>
              </w:r>
            </w:hyperlink>
          </w:p>
          <w:p w:rsidR="000D6425" w:rsidRPr="00985377" w:rsidRDefault="000D6425" w:rsidP="000D64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3779D" w:rsidRPr="000D6425" w:rsidRDefault="0033779D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0D6425" w:rsidRPr="000D6425" w:rsidRDefault="000D6425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779D" w:rsidRPr="00E31856" w:rsidTr="001B3720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  <w:bookmarkStart w:id="3" w:name="_GoBack"/>
            <w:bookmarkEnd w:id="3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33779D" w:rsidP="0033779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33779D" w:rsidRPr="00E31856" w:rsidRDefault="0033779D" w:rsidP="0033779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33779D" w:rsidRPr="00E31856" w:rsidRDefault="0033779D" w:rsidP="0033779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33779D" w:rsidRPr="00E31856" w:rsidRDefault="0033779D" w:rsidP="0033779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3779D" w:rsidRPr="00E31856" w:rsidRDefault="0033779D" w:rsidP="0033779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3779D" w:rsidRPr="00E31856" w:rsidTr="001B3720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3779D" w:rsidRPr="00E31856" w:rsidRDefault="0033779D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779D" w:rsidRPr="00E31856" w:rsidRDefault="00A3571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779D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3779D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243EA" w:rsidRDefault="005243EA"/>
    <w:sectPr w:rsidR="005243EA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F4D" w:rsidRDefault="00B57F4D" w:rsidP="0033779D">
      <w:pPr>
        <w:spacing w:after="0" w:line="240" w:lineRule="auto"/>
      </w:pPr>
      <w:r>
        <w:separator/>
      </w:r>
    </w:p>
  </w:endnote>
  <w:endnote w:type="continuationSeparator" w:id="0">
    <w:p w:rsidR="00B57F4D" w:rsidRDefault="00B57F4D" w:rsidP="00337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NexusSansWeb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F4D" w:rsidRDefault="00B57F4D" w:rsidP="0033779D">
      <w:pPr>
        <w:spacing w:after="0" w:line="240" w:lineRule="auto"/>
      </w:pPr>
      <w:r>
        <w:separator/>
      </w:r>
    </w:p>
  </w:footnote>
  <w:footnote w:type="continuationSeparator" w:id="0">
    <w:p w:rsidR="00B57F4D" w:rsidRDefault="00B57F4D" w:rsidP="00337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6A2"/>
    <w:multiLevelType w:val="hybridMultilevel"/>
    <w:tmpl w:val="2EDC1F7A"/>
    <w:lvl w:ilvl="0" w:tplc="E258CCE4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B6610"/>
    <w:multiLevelType w:val="hybridMultilevel"/>
    <w:tmpl w:val="81A89790"/>
    <w:lvl w:ilvl="0" w:tplc="1D2A4838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21496"/>
    <w:multiLevelType w:val="hybridMultilevel"/>
    <w:tmpl w:val="DBAE5E4A"/>
    <w:lvl w:ilvl="0" w:tplc="327ACF88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D759A0"/>
    <w:multiLevelType w:val="hybridMultilevel"/>
    <w:tmpl w:val="205269A6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D8262A"/>
    <w:multiLevelType w:val="hybridMultilevel"/>
    <w:tmpl w:val="A5FC5E18"/>
    <w:lvl w:ilvl="0" w:tplc="EB7A3DE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E90D7C"/>
    <w:multiLevelType w:val="hybridMultilevel"/>
    <w:tmpl w:val="1B34F670"/>
    <w:lvl w:ilvl="0" w:tplc="C06EBCE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3A5B9A"/>
    <w:multiLevelType w:val="hybridMultilevel"/>
    <w:tmpl w:val="A9B05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D25DA"/>
    <w:multiLevelType w:val="hybridMultilevel"/>
    <w:tmpl w:val="B9FA23C4"/>
    <w:lvl w:ilvl="0" w:tplc="E54C1F0A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234143"/>
    <w:multiLevelType w:val="hybridMultilevel"/>
    <w:tmpl w:val="C58C3378"/>
    <w:lvl w:ilvl="0" w:tplc="C1DA4BC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7177B1"/>
    <w:multiLevelType w:val="hybridMultilevel"/>
    <w:tmpl w:val="2438F20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8DC1AFC"/>
    <w:multiLevelType w:val="hybridMultilevel"/>
    <w:tmpl w:val="DBFE584E"/>
    <w:lvl w:ilvl="0" w:tplc="7F4AB0AE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DD3F57"/>
    <w:multiLevelType w:val="hybridMultilevel"/>
    <w:tmpl w:val="362809DE"/>
    <w:lvl w:ilvl="0" w:tplc="68089CD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397693"/>
    <w:multiLevelType w:val="hybridMultilevel"/>
    <w:tmpl w:val="65BC65AA"/>
    <w:lvl w:ilvl="0" w:tplc="608EBBF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DE022A"/>
    <w:multiLevelType w:val="hybridMultilevel"/>
    <w:tmpl w:val="5552B56C"/>
    <w:lvl w:ilvl="0" w:tplc="C504C31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6">
    <w:nsid w:val="6B305357"/>
    <w:multiLevelType w:val="hybridMultilevel"/>
    <w:tmpl w:val="CE3668B4"/>
    <w:lvl w:ilvl="0" w:tplc="60C27EC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FE1830"/>
    <w:multiLevelType w:val="hybridMultilevel"/>
    <w:tmpl w:val="5DDE8968"/>
    <w:lvl w:ilvl="0" w:tplc="91747BD8">
      <w:start w:val="1"/>
      <w:numFmt w:val="decimal"/>
      <w:lvlText w:val="%1."/>
      <w:lvlJc w:val="left"/>
      <w:pPr>
        <w:ind w:left="42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9" w:hanging="360"/>
      </w:pPr>
    </w:lvl>
    <w:lvl w:ilvl="2" w:tplc="041A001B" w:tentative="1">
      <w:start w:val="1"/>
      <w:numFmt w:val="lowerRoman"/>
      <w:lvlText w:val="%3."/>
      <w:lvlJc w:val="right"/>
      <w:pPr>
        <w:ind w:left="1869" w:hanging="180"/>
      </w:pPr>
    </w:lvl>
    <w:lvl w:ilvl="3" w:tplc="041A000F" w:tentative="1">
      <w:start w:val="1"/>
      <w:numFmt w:val="decimal"/>
      <w:lvlText w:val="%4."/>
      <w:lvlJc w:val="left"/>
      <w:pPr>
        <w:ind w:left="2589" w:hanging="360"/>
      </w:pPr>
    </w:lvl>
    <w:lvl w:ilvl="4" w:tplc="041A0019" w:tentative="1">
      <w:start w:val="1"/>
      <w:numFmt w:val="lowerLetter"/>
      <w:lvlText w:val="%5."/>
      <w:lvlJc w:val="left"/>
      <w:pPr>
        <w:ind w:left="3309" w:hanging="360"/>
      </w:pPr>
    </w:lvl>
    <w:lvl w:ilvl="5" w:tplc="041A001B" w:tentative="1">
      <w:start w:val="1"/>
      <w:numFmt w:val="lowerRoman"/>
      <w:lvlText w:val="%6."/>
      <w:lvlJc w:val="right"/>
      <w:pPr>
        <w:ind w:left="4029" w:hanging="180"/>
      </w:pPr>
    </w:lvl>
    <w:lvl w:ilvl="6" w:tplc="041A000F" w:tentative="1">
      <w:start w:val="1"/>
      <w:numFmt w:val="decimal"/>
      <w:lvlText w:val="%7."/>
      <w:lvlJc w:val="left"/>
      <w:pPr>
        <w:ind w:left="4749" w:hanging="360"/>
      </w:pPr>
    </w:lvl>
    <w:lvl w:ilvl="7" w:tplc="041A0019" w:tentative="1">
      <w:start w:val="1"/>
      <w:numFmt w:val="lowerLetter"/>
      <w:lvlText w:val="%8."/>
      <w:lvlJc w:val="left"/>
      <w:pPr>
        <w:ind w:left="5469" w:hanging="360"/>
      </w:pPr>
    </w:lvl>
    <w:lvl w:ilvl="8" w:tplc="041A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18">
    <w:nsid w:val="7CFE7B44"/>
    <w:multiLevelType w:val="hybridMultilevel"/>
    <w:tmpl w:val="8D3E0A5E"/>
    <w:lvl w:ilvl="0" w:tplc="E8FE107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6"/>
  </w:num>
  <w:num w:numId="5">
    <w:abstractNumId w:val="17"/>
  </w:num>
  <w:num w:numId="6">
    <w:abstractNumId w:val="3"/>
  </w:num>
  <w:num w:numId="7">
    <w:abstractNumId w:val="9"/>
  </w:num>
  <w:num w:numId="8">
    <w:abstractNumId w:val="18"/>
  </w:num>
  <w:num w:numId="9">
    <w:abstractNumId w:val="8"/>
  </w:num>
  <w:num w:numId="10">
    <w:abstractNumId w:val="16"/>
  </w:num>
  <w:num w:numId="11">
    <w:abstractNumId w:val="5"/>
  </w:num>
  <w:num w:numId="12">
    <w:abstractNumId w:val="13"/>
  </w:num>
  <w:num w:numId="13">
    <w:abstractNumId w:val="4"/>
  </w:num>
  <w:num w:numId="14">
    <w:abstractNumId w:val="11"/>
  </w:num>
  <w:num w:numId="15">
    <w:abstractNumId w:val="7"/>
  </w:num>
  <w:num w:numId="16">
    <w:abstractNumId w:val="1"/>
  </w:num>
  <w:num w:numId="17">
    <w:abstractNumId w:val="2"/>
  </w:num>
  <w:num w:numId="18">
    <w:abstractNumId w:val="12"/>
  </w:num>
  <w:num w:numId="19">
    <w:abstractNumId w:val="10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779D"/>
    <w:rsid w:val="000D6425"/>
    <w:rsid w:val="001946BC"/>
    <w:rsid w:val="00276178"/>
    <w:rsid w:val="0033779D"/>
    <w:rsid w:val="00384563"/>
    <w:rsid w:val="003E1A3B"/>
    <w:rsid w:val="005243EA"/>
    <w:rsid w:val="00A35719"/>
    <w:rsid w:val="00B57F4D"/>
    <w:rsid w:val="00B85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79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3779D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33779D"/>
    <w:rPr>
      <w:rFonts w:cs="Times New Roman"/>
      <w:b/>
      <w:bCs/>
    </w:rPr>
  </w:style>
  <w:style w:type="character" w:styleId="Emphasis">
    <w:name w:val="Emphasis"/>
    <w:qFormat/>
    <w:rsid w:val="0033779D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337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779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337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779D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0D64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79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3779D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33779D"/>
    <w:rPr>
      <w:rFonts w:cs="Times New Roman"/>
      <w:b/>
      <w:bCs/>
    </w:rPr>
  </w:style>
  <w:style w:type="character" w:styleId="Emphasis">
    <w:name w:val="Emphasis"/>
    <w:qFormat/>
    <w:rsid w:val="0033779D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337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779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337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779D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0D64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iencedirect.com/science/journal/10629408" TargetMode="External"/><Relationship Id="rId13" Type="http://schemas.openxmlformats.org/officeDocument/2006/relationships/hyperlink" Target="https://dx.doi.org/10.2139/ssrn.316002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ciencedirect.com/science/article/abs/pii/S1062940817303194" TargetMode="External"/><Relationship Id="rId12" Type="http://schemas.openxmlformats.org/officeDocument/2006/relationships/hyperlink" Target="https://ssrn.com/abstract=3160020" TargetMode="External"/><Relationship Id="rId17" Type="http://schemas.openxmlformats.org/officeDocument/2006/relationships/hyperlink" Target="http://www.imf.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Worldbank.org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x.doi.org/10.2139/ssrn.316796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bis.org/" TargetMode="External"/><Relationship Id="rId10" Type="http://schemas.openxmlformats.org/officeDocument/2006/relationships/hyperlink" Target="https://ssrn.com/abstract=3167969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1016/j.najef.2018.03.009" TargetMode="External"/><Relationship Id="rId14" Type="http://schemas.openxmlformats.org/officeDocument/2006/relationships/hyperlink" Target="https://www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1511</Words>
  <Characters>8615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2018-06-07T08:05:00Z</dcterms:created>
  <dcterms:modified xsi:type="dcterms:W3CDTF">2018-06-07T08:05:00Z</dcterms:modified>
</cp:coreProperties>
</file>